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92B0EA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E928A3">
        <w:t>22</w:t>
      </w:r>
      <w:r w:rsidRPr="00CE0424">
        <w:tab/>
      </w:r>
      <w:r w:rsidR="004B7FA6" w:rsidRPr="004B7FA6">
        <w:rPr>
          <w:sz w:val="32"/>
          <w:szCs w:val="32"/>
        </w:rPr>
        <w:t>R1-2506366</w:t>
      </w:r>
    </w:p>
    <w:p w14:paraId="47EA85FC" w14:textId="77777777" w:rsidR="00E928A3" w:rsidRPr="00CE0424" w:rsidRDefault="00E928A3" w:rsidP="00E928A3">
      <w:pPr>
        <w:pStyle w:val="3GPPHeader"/>
      </w:pPr>
      <w:r w:rsidRPr="009665D0">
        <w:t>Bengaluru, India, August 25th – 29th, 2025</w:t>
      </w:r>
    </w:p>
    <w:p w14:paraId="3086AC07" w14:textId="77777777" w:rsidR="00E90E49" w:rsidRPr="00CE0424" w:rsidRDefault="00E90E49" w:rsidP="00357380">
      <w:pPr>
        <w:pStyle w:val="3GPPHeader"/>
      </w:pPr>
    </w:p>
    <w:p w14:paraId="3982483C" w14:textId="7C570DEB" w:rsidR="00E90E49" w:rsidRPr="00E928A3" w:rsidRDefault="00E90E49" w:rsidP="47F3F98F">
      <w:pPr>
        <w:pStyle w:val="3GPPHeader"/>
        <w:rPr>
          <w:sz w:val="22"/>
        </w:rPr>
      </w:pPr>
      <w:r w:rsidRPr="47F3F98F">
        <w:rPr>
          <w:sz w:val="22"/>
        </w:rPr>
        <w:t>Agenda Item:</w:t>
      </w:r>
      <w:r>
        <w:tab/>
      </w:r>
      <w:r w:rsidR="00E928A3" w:rsidRPr="47F3F98F">
        <w:rPr>
          <w:sz w:val="22"/>
        </w:rPr>
        <w:t>5</w:t>
      </w:r>
    </w:p>
    <w:p w14:paraId="5619E868" w14:textId="77777777" w:rsidR="00E90E49" w:rsidRPr="00CE0424" w:rsidRDefault="003D3C45" w:rsidP="47F3F98F">
      <w:pPr>
        <w:pStyle w:val="3GPPHeader"/>
        <w:rPr>
          <w:sz w:val="22"/>
        </w:rPr>
      </w:pPr>
      <w:r w:rsidRPr="47F3F98F">
        <w:rPr>
          <w:sz w:val="22"/>
        </w:rPr>
        <w:t>Source:</w:t>
      </w:r>
      <w:r>
        <w:tab/>
      </w:r>
      <w:r w:rsidR="00F64C2B" w:rsidRPr="47F3F98F">
        <w:rPr>
          <w:sz w:val="22"/>
        </w:rPr>
        <w:t>Ericsson</w:t>
      </w:r>
    </w:p>
    <w:p w14:paraId="3AF5C9FA" w14:textId="29770D9A" w:rsidR="00E90E49" w:rsidRPr="00CE0424" w:rsidRDefault="003D3C45" w:rsidP="47F3F98F">
      <w:pPr>
        <w:pStyle w:val="3GPPHeader"/>
        <w:rPr>
          <w:sz w:val="22"/>
        </w:rPr>
      </w:pPr>
      <w:r w:rsidRPr="47F3F98F">
        <w:rPr>
          <w:sz w:val="22"/>
        </w:rPr>
        <w:t>Title:</w:t>
      </w:r>
      <w:r>
        <w:tab/>
      </w:r>
      <w:r w:rsidR="00E928A3" w:rsidRPr="47F3F98F">
        <w:rPr>
          <w:sz w:val="22"/>
        </w:rPr>
        <w:t xml:space="preserve">On RAN2 LS on </w:t>
      </w:r>
      <w:r w:rsidR="00052200" w:rsidRPr="47F3F98F">
        <w:rPr>
          <w:sz w:val="22"/>
        </w:rPr>
        <w:t>CSI-RS based CFRA using SBFD RO</w:t>
      </w:r>
    </w:p>
    <w:p w14:paraId="025260C1" w14:textId="77777777" w:rsidR="00E90E49" w:rsidRPr="00CE0424" w:rsidRDefault="00E90E49" w:rsidP="47F3F98F">
      <w:pPr>
        <w:pStyle w:val="3GPPHeader"/>
        <w:rPr>
          <w:sz w:val="22"/>
        </w:rPr>
      </w:pPr>
      <w:r w:rsidRPr="47F3F98F">
        <w:rPr>
          <w:sz w:val="22"/>
        </w:rPr>
        <w:t>Document for:</w:t>
      </w:r>
      <w:r>
        <w:tab/>
      </w:r>
      <w:r w:rsidRPr="47F3F98F">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77432039" w:rsidR="00477768" w:rsidRDefault="00E928A3" w:rsidP="00CE0424">
      <w:pPr>
        <w:pStyle w:val="BodyText"/>
      </w:pPr>
      <w:r>
        <w:t>RAN2 sent the following LS to RAN1</w:t>
      </w:r>
      <w:r w:rsidR="00FD0075">
        <w:t> </w:t>
      </w:r>
      <w:r w:rsidR="00FD0075">
        <w:fldChar w:fldCharType="begin"/>
      </w:r>
      <w:r w:rsidR="00FD0075">
        <w:instrText xml:space="preserve"> REF _Ref206145167 \r \h </w:instrText>
      </w:r>
      <w:r w:rsidR="00FD0075">
        <w:fldChar w:fldCharType="separate"/>
      </w:r>
      <w:r w:rsidR="00DB0F71">
        <w:t>[1]</w:t>
      </w:r>
      <w:r w:rsidR="00FD0075">
        <w:fldChar w:fldCharType="end"/>
      </w:r>
      <w:r>
        <w:t>:</w:t>
      </w:r>
    </w:p>
    <w:tbl>
      <w:tblPr>
        <w:tblStyle w:val="TableGrid"/>
        <w:tblW w:w="0" w:type="auto"/>
        <w:tblLook w:val="04A0" w:firstRow="1" w:lastRow="0" w:firstColumn="1" w:lastColumn="0" w:noHBand="0" w:noVBand="1"/>
      </w:tblPr>
      <w:tblGrid>
        <w:gridCol w:w="9629"/>
      </w:tblGrid>
      <w:tr w:rsidR="00CF058A" w14:paraId="746D59DB" w14:textId="77777777">
        <w:tc>
          <w:tcPr>
            <w:tcW w:w="9629" w:type="dxa"/>
          </w:tcPr>
          <w:p w14:paraId="38876D43" w14:textId="77777777" w:rsidR="00C6296C" w:rsidRPr="00C6296C" w:rsidRDefault="00C6296C" w:rsidP="00C6296C">
            <w:pPr>
              <w:pStyle w:val="BodyText"/>
              <w:rPr>
                <w:b/>
                <w:sz w:val="20"/>
                <w:szCs w:val="20"/>
              </w:rPr>
            </w:pPr>
            <w:r w:rsidRPr="00E72A8E">
              <w:rPr>
                <w:b/>
                <w:sz w:val="20"/>
                <w:szCs w:val="20"/>
              </w:rPr>
              <w:t xml:space="preserve">1. </w:t>
            </w:r>
            <w:r w:rsidRPr="00C6296C">
              <w:rPr>
                <w:b/>
                <w:sz w:val="20"/>
                <w:szCs w:val="20"/>
              </w:rPr>
              <w:t>Overall Description:</w:t>
            </w:r>
          </w:p>
          <w:p w14:paraId="5240963F" w14:textId="77777777" w:rsidR="00CF058A" w:rsidRPr="006A083E" w:rsidRDefault="00CF058A" w:rsidP="00CF058A">
            <w:pPr>
              <w:rPr>
                <w:rFonts w:cs="Arial"/>
                <w:bCs/>
                <w:sz w:val="20"/>
                <w:szCs w:val="20"/>
                <w:lang w:eastAsia="zh-CN"/>
              </w:rPr>
            </w:pPr>
            <w:r w:rsidRPr="006A083E">
              <w:rPr>
                <w:rFonts w:cs="Arial"/>
                <w:bCs/>
                <w:sz w:val="20"/>
                <w:szCs w:val="20"/>
                <w:lang w:eastAsia="zh-CN"/>
              </w:rPr>
              <w:t xml:space="preserve">For the L3 handover and BFR cases, RAN2 has made the </w:t>
            </w:r>
            <w:proofErr w:type="gramStart"/>
            <w:r w:rsidRPr="006A083E">
              <w:rPr>
                <w:rFonts w:cs="Arial"/>
                <w:bCs/>
                <w:sz w:val="20"/>
                <w:szCs w:val="20"/>
                <w:lang w:eastAsia="zh-CN"/>
              </w:rPr>
              <w:t>below agreement</w:t>
            </w:r>
            <w:proofErr w:type="gramEnd"/>
            <w:r w:rsidRPr="006A083E">
              <w:rPr>
                <w:rFonts w:cs="Arial"/>
                <w:bCs/>
                <w:sz w:val="20"/>
                <w:szCs w:val="20"/>
                <w:lang w:eastAsia="zh-CN"/>
              </w:rPr>
              <w:t>:</w:t>
            </w:r>
          </w:p>
          <w:tbl>
            <w:tblPr>
              <w:tblStyle w:val="TableGrid"/>
              <w:tblW w:w="0" w:type="auto"/>
              <w:tblLook w:val="04A0" w:firstRow="1" w:lastRow="0" w:firstColumn="1" w:lastColumn="0" w:noHBand="0" w:noVBand="1"/>
            </w:tblPr>
            <w:tblGrid>
              <w:gridCol w:w="9403"/>
            </w:tblGrid>
            <w:tr w:rsidR="00CF058A" w:rsidRPr="00C6296C" w14:paraId="1D1DE8A9" w14:textId="77777777" w:rsidTr="00CF058A">
              <w:tc>
                <w:tcPr>
                  <w:tcW w:w="9855" w:type="dxa"/>
                  <w:tcBorders>
                    <w:top w:val="single" w:sz="4" w:space="0" w:color="auto"/>
                    <w:left w:val="single" w:sz="4" w:space="0" w:color="auto"/>
                    <w:bottom w:val="single" w:sz="4" w:space="0" w:color="auto"/>
                    <w:right w:val="single" w:sz="4" w:space="0" w:color="auto"/>
                  </w:tcBorders>
                  <w:hideMark/>
                </w:tcPr>
                <w:p w14:paraId="12D0BDF0" w14:textId="77777777" w:rsidR="00CF058A" w:rsidRPr="006A083E" w:rsidRDefault="00CF058A" w:rsidP="00CF058A">
                  <w:pPr>
                    <w:rPr>
                      <w:rFonts w:eastAsiaTheme="minorEastAsia" w:cs="Arial"/>
                      <w:bCs/>
                      <w:sz w:val="20"/>
                      <w:szCs w:val="20"/>
                      <w:lang w:eastAsia="zh-CN"/>
                    </w:rPr>
                  </w:pPr>
                  <w:r w:rsidRPr="006A083E">
                    <w:rPr>
                      <w:rFonts w:eastAsiaTheme="minorEastAsia" w:cs="Arial"/>
                      <w:bCs/>
                      <w:sz w:val="20"/>
                      <w:szCs w:val="20"/>
                      <w:lang w:eastAsia="zh-CN"/>
                    </w:rPr>
                    <w:t>Agreement:</w:t>
                  </w:r>
                </w:p>
                <w:p w14:paraId="6D136BDD" w14:textId="77777777" w:rsidR="00CF058A" w:rsidRPr="006A083E" w:rsidRDefault="00CF058A" w:rsidP="00CF058A">
                  <w:pPr>
                    <w:rPr>
                      <w:rFonts w:cs="Arial"/>
                      <w:bCs/>
                      <w:sz w:val="20"/>
                      <w:szCs w:val="20"/>
                      <w:lang w:eastAsia="zh-CN"/>
                    </w:rPr>
                  </w:pPr>
                  <w:r w:rsidRPr="006A083E">
                    <w:rPr>
                      <w:rFonts w:cs="Arial"/>
                      <w:bCs/>
                      <w:sz w:val="20"/>
                      <w:szCs w:val="20"/>
                      <w:lang w:eastAsia="zh-CN"/>
                    </w:rPr>
                    <w:t xml:space="preserve">For L3 HO and BFR cases, CSI-RS based CFRA using SBFD RO is supported from RAN2 perspective. Send LS to RAN1/4 to inform </w:t>
                  </w:r>
                  <w:proofErr w:type="gramStart"/>
                  <w:r w:rsidRPr="006A083E">
                    <w:rPr>
                      <w:rFonts w:cs="Arial"/>
                      <w:bCs/>
                      <w:sz w:val="20"/>
                      <w:szCs w:val="20"/>
                      <w:lang w:eastAsia="zh-CN"/>
                    </w:rPr>
                    <w:t>this</w:t>
                  </w:r>
                  <w:proofErr w:type="gramEnd"/>
                  <w:r w:rsidRPr="006A083E">
                    <w:rPr>
                      <w:rFonts w:cs="Arial"/>
                      <w:bCs/>
                      <w:sz w:val="20"/>
                      <w:szCs w:val="20"/>
                      <w:lang w:eastAsia="zh-CN"/>
                    </w:rPr>
                    <w:t xml:space="preserve"> conclusion.</w:t>
                  </w:r>
                </w:p>
              </w:tc>
            </w:tr>
          </w:tbl>
          <w:p w14:paraId="1F735A1D" w14:textId="77777777" w:rsidR="00CF058A" w:rsidRDefault="00CF058A" w:rsidP="00CF058A">
            <w:pPr>
              <w:rPr>
                <w:rFonts w:cs="Arial"/>
                <w:bCs/>
                <w:kern w:val="2"/>
                <w:lang w:eastAsia="zh-CN"/>
                <w14:ligatures w14:val="standardContextual"/>
              </w:rPr>
            </w:pPr>
          </w:p>
          <w:p w14:paraId="3B1099DF" w14:textId="77777777" w:rsidR="00C6296C" w:rsidRPr="00E72A8E" w:rsidRDefault="00C6296C" w:rsidP="00C6296C">
            <w:pPr>
              <w:pStyle w:val="BodyText"/>
              <w:rPr>
                <w:b/>
                <w:sz w:val="20"/>
                <w:szCs w:val="20"/>
              </w:rPr>
            </w:pPr>
            <w:r w:rsidRPr="00E72A8E">
              <w:rPr>
                <w:b/>
                <w:sz w:val="20"/>
                <w:szCs w:val="20"/>
              </w:rPr>
              <w:t>2. Actions:</w:t>
            </w:r>
          </w:p>
          <w:p w14:paraId="793B288F" w14:textId="77777777" w:rsidR="00CF058A" w:rsidRPr="006A083E" w:rsidRDefault="00CF058A" w:rsidP="00CF058A">
            <w:pPr>
              <w:spacing w:after="120"/>
              <w:ind w:left="1985" w:hanging="1985"/>
              <w:rPr>
                <w:rFonts w:cs="Arial"/>
                <w:b/>
                <w:sz w:val="20"/>
                <w:szCs w:val="20"/>
                <w:lang w:val="en-SE"/>
              </w:rPr>
            </w:pPr>
            <w:r w:rsidRPr="006A083E">
              <w:rPr>
                <w:rFonts w:cs="Arial"/>
                <w:b/>
                <w:sz w:val="20"/>
                <w:szCs w:val="20"/>
                <w:lang w:val="en-SE"/>
              </w:rPr>
              <w:t>To RAN WG1, RAN WG4:</w:t>
            </w:r>
          </w:p>
          <w:p w14:paraId="227EC58C" w14:textId="6D8FFC5E" w:rsidR="00CF058A" w:rsidRDefault="00CF058A" w:rsidP="00CF058A">
            <w:pPr>
              <w:pStyle w:val="BodyText"/>
            </w:pPr>
            <w:r w:rsidRPr="006A083E">
              <w:rPr>
                <w:rFonts w:cs="Arial"/>
                <w:b/>
                <w:sz w:val="20"/>
                <w:szCs w:val="20"/>
              </w:rPr>
              <w:t>ACTION</w:t>
            </w:r>
            <w:proofErr w:type="gramStart"/>
            <w:r w:rsidRPr="006A083E">
              <w:rPr>
                <w:rFonts w:cs="Arial"/>
                <w:b/>
                <w:sz w:val="20"/>
                <w:szCs w:val="20"/>
              </w:rPr>
              <w:t xml:space="preserve">: </w:t>
            </w:r>
            <w:r w:rsidRPr="006A083E">
              <w:rPr>
                <w:rFonts w:cs="Arial"/>
                <w:b/>
                <w:sz w:val="20"/>
                <w:szCs w:val="20"/>
              </w:rPr>
              <w:tab/>
            </w:r>
            <w:r w:rsidRPr="006A083E">
              <w:rPr>
                <w:rFonts w:cs="Arial"/>
                <w:sz w:val="20"/>
                <w:szCs w:val="20"/>
              </w:rPr>
              <w:t>RAN2</w:t>
            </w:r>
            <w:proofErr w:type="gramEnd"/>
            <w:r w:rsidRPr="006A083E">
              <w:rPr>
                <w:rFonts w:cs="Arial"/>
                <w:sz w:val="20"/>
                <w:szCs w:val="20"/>
              </w:rPr>
              <w:t xml:space="preserve"> respectfully asks RAN1 and RAN4 to take the above agreement into account and provide feedback if there are any concerns.</w:t>
            </w:r>
          </w:p>
        </w:tc>
      </w:tr>
    </w:tbl>
    <w:p w14:paraId="68890B81" w14:textId="77777777" w:rsidR="00CF058A" w:rsidRDefault="00CF058A" w:rsidP="00CE0424">
      <w:pPr>
        <w:pStyle w:val="BodyText"/>
      </w:pPr>
    </w:p>
    <w:p w14:paraId="1CC21374" w14:textId="7DB79E34" w:rsidR="00E928A3" w:rsidRPr="00CE0424" w:rsidRDefault="00E928A3" w:rsidP="00CE0424">
      <w:pPr>
        <w:pStyle w:val="BodyText"/>
      </w:pPr>
      <w:r w:rsidRPr="47F3F98F">
        <w:t>Below we provide our views on this matter.</w:t>
      </w:r>
    </w:p>
    <w:p w14:paraId="60123794" w14:textId="6825F9D3" w:rsidR="004000E8" w:rsidRDefault="004000E8" w:rsidP="00CE0424">
      <w:pPr>
        <w:pStyle w:val="Heading1"/>
      </w:pPr>
      <w:bookmarkStart w:id="0" w:name="_Ref178064866"/>
      <w:r w:rsidRPr="00CE0424">
        <w:t>Discussion</w:t>
      </w:r>
      <w:bookmarkEnd w:id="0"/>
    </w:p>
    <w:p w14:paraId="0564C6EB" w14:textId="33637181" w:rsidR="008F7158" w:rsidRDefault="004B7FA6" w:rsidP="004B7FA6">
      <w:pPr>
        <w:jc w:val="both"/>
      </w:pPr>
      <w:r>
        <w:rPr>
          <w:lang w:val="en-GB" w:eastAsia="ja-JP"/>
        </w:rPr>
        <w:t>The network has great flexibility in configuring dedicated RACH configuration, since the UE is provided the complete configuration in the RRC IE</w:t>
      </w:r>
      <w:r w:rsidRPr="004B7FA6">
        <w:rPr>
          <w:i/>
          <w:iCs/>
        </w:rPr>
        <w:t xml:space="preserve"> </w:t>
      </w:r>
      <w:r w:rsidRPr="006A30F2">
        <w:rPr>
          <w:i/>
          <w:iCs/>
        </w:rPr>
        <w:t>RACH-</w:t>
      </w:r>
      <w:proofErr w:type="spellStart"/>
      <w:r w:rsidRPr="006A30F2">
        <w:rPr>
          <w:i/>
          <w:iCs/>
        </w:rPr>
        <w:t>ConfigDedicated</w:t>
      </w:r>
      <w:proofErr w:type="spellEnd"/>
      <w:r w:rsidR="004852FE">
        <w:t xml:space="preserve"> </w:t>
      </w:r>
      <w:r w:rsidR="004852FE">
        <w:fldChar w:fldCharType="begin"/>
      </w:r>
      <w:r w:rsidR="004852FE">
        <w:instrText xml:space="preserve"> REF _Ref206146292 \r \h </w:instrText>
      </w:r>
      <w:r w:rsidR="004852FE">
        <w:fldChar w:fldCharType="separate"/>
      </w:r>
      <w:r w:rsidR="00DB0F71">
        <w:t>[2]</w:t>
      </w:r>
      <w:r w:rsidR="004852FE">
        <w:fldChar w:fldCharType="end"/>
      </w:r>
      <w:r>
        <w:t xml:space="preserve">. In fact, it is not necessary for the dedicated RACH configuration to be related to the common configuration, as provided by </w:t>
      </w:r>
      <w:r w:rsidRPr="004B7FA6">
        <w:rPr>
          <w:i/>
          <w:iCs/>
        </w:rPr>
        <w:t>RACH-</w:t>
      </w:r>
      <w:proofErr w:type="spellStart"/>
      <w:r w:rsidRPr="004B7FA6">
        <w:rPr>
          <w:i/>
          <w:iCs/>
        </w:rPr>
        <w:t>ConfigCommon</w:t>
      </w:r>
      <w:proofErr w:type="spellEnd"/>
      <w:r>
        <w:t>, at all.</w:t>
      </w:r>
    </w:p>
    <w:p w14:paraId="61C38FA8" w14:textId="41371B54" w:rsidR="004B7FA6" w:rsidRPr="004B7FA6" w:rsidRDefault="004B7FA6" w:rsidP="004B7FA6">
      <w:pPr>
        <w:pStyle w:val="Observation"/>
        <w:rPr>
          <w:lang w:val="en-GB"/>
        </w:rPr>
      </w:pPr>
      <w:bookmarkStart w:id="1" w:name="_Toc206180039"/>
      <w:r>
        <w:t>The RACH configuration provided by dedicated RRC must not necessarily be related to any configured common RACH configurations.</w:t>
      </w:r>
      <w:bookmarkEnd w:id="1"/>
    </w:p>
    <w:p w14:paraId="3FA494D4" w14:textId="34927271" w:rsidR="004B7FA6" w:rsidRDefault="004B7FA6" w:rsidP="004B7FA6">
      <w:pPr>
        <w:jc w:val="both"/>
        <w:rPr>
          <w:lang w:val="en-GB" w:eastAsia="ja-JP"/>
        </w:rPr>
      </w:pPr>
      <w:r>
        <w:rPr>
          <w:lang w:val="en-GB" w:eastAsia="ja-JP"/>
        </w:rPr>
        <w:t>This may cause an issue in determining the CSI-RS-to-RO mapping for two reasons:</w:t>
      </w:r>
    </w:p>
    <w:p w14:paraId="7BBCA6BC" w14:textId="1E907E1C" w:rsidR="004B7FA6" w:rsidRDefault="004B7FA6" w:rsidP="004B7FA6">
      <w:pPr>
        <w:pStyle w:val="ListParagraph"/>
        <w:jc w:val="both"/>
        <w:rPr>
          <w:rFonts w:eastAsiaTheme="minorHAnsi" w:cstheme="minorBidi"/>
          <w:szCs w:val="22"/>
        </w:rPr>
      </w:pPr>
      <w:r w:rsidRPr="004B7FA6">
        <w:t>The</w:t>
      </w:r>
      <w:r w:rsidRPr="004B7FA6">
        <w:rPr>
          <w:rFonts w:eastAsiaTheme="minorHAnsi" w:cstheme="minorBidi"/>
          <w:szCs w:val="22"/>
        </w:rPr>
        <w:t xml:space="preserve"> </w:t>
      </w:r>
      <w:r>
        <w:rPr>
          <w:rFonts w:eastAsiaTheme="minorHAnsi" w:cstheme="minorBidi"/>
          <w:szCs w:val="22"/>
        </w:rPr>
        <w:t>UE may not know whether legacy or additional ROs should be used since the RO locations are implicitly provided by the RO index and the two RO types do not have unique indices, and,</w:t>
      </w:r>
    </w:p>
    <w:p w14:paraId="509A4BBF" w14:textId="1B7D3BF6" w:rsidR="004B7FA6" w:rsidRDefault="004B7FA6" w:rsidP="004B7FA6">
      <w:pPr>
        <w:pStyle w:val="ListParagraph"/>
        <w:spacing w:after="240"/>
        <w:jc w:val="both"/>
        <w:rPr>
          <w:rFonts w:eastAsiaTheme="minorHAnsi" w:cstheme="minorBidi"/>
          <w:szCs w:val="22"/>
        </w:rPr>
      </w:pPr>
      <w:r>
        <w:rPr>
          <w:rFonts w:eastAsiaTheme="minorHAnsi" w:cstheme="minorBidi"/>
          <w:szCs w:val="22"/>
        </w:rPr>
        <w:t>In case of additional ROs, whether to validate the additional ROs according to validation rules for the single RACH configuration (Option 1) or the additional RACH configuration (Option 2).</w:t>
      </w:r>
    </w:p>
    <w:p w14:paraId="6CD5E72B" w14:textId="2DF1F2EE" w:rsidR="004B7FA6" w:rsidRPr="004B7FA6" w:rsidRDefault="004B7FA6" w:rsidP="004B7FA6">
      <w:pPr>
        <w:jc w:val="both"/>
      </w:pPr>
      <w:r>
        <w:lastRenderedPageBreak/>
        <w:t>Without this information, there will be an ambiguity in the interpretation of the RO location. This ambiguity is both wasteful and undesirable since making room for multiple interpretations will cause additional complexity and overhead while the network likely has good reasons to prefer one RO type before the other.</w:t>
      </w:r>
    </w:p>
    <w:p w14:paraId="25BA7BC6" w14:textId="77777777" w:rsidR="004B7FA6" w:rsidRDefault="004B7FA6" w:rsidP="000B1083">
      <w:pPr>
        <w:jc w:val="both"/>
      </w:pPr>
      <w:r>
        <w:t xml:space="preserve">With the above in mind, it is reasonable to respond to RAN2 that the above information is necessary from RAN1’s perspective </w:t>
      </w:r>
      <w:proofErr w:type="gramStart"/>
      <w:r>
        <w:t>in order to</w:t>
      </w:r>
      <w:proofErr w:type="gramEnd"/>
      <w:r>
        <w:t xml:space="preserve"> achieve a desirable outcome.</w:t>
      </w:r>
    </w:p>
    <w:p w14:paraId="58B710B5" w14:textId="06E35029" w:rsidR="004B7FA6" w:rsidRDefault="004B7FA6" w:rsidP="004B7FA6">
      <w:pPr>
        <w:pStyle w:val="Proposal"/>
      </w:pPr>
      <w:bookmarkStart w:id="2" w:name="_Toc206180040"/>
      <w:r w:rsidRPr="47F3F98F">
        <w:t xml:space="preserve">Send a </w:t>
      </w:r>
      <w:proofErr w:type="gramStart"/>
      <w:r w:rsidRPr="47F3F98F">
        <w:t>reply</w:t>
      </w:r>
      <w:proofErr w:type="gramEnd"/>
      <w:r w:rsidRPr="47F3F98F">
        <w:t xml:space="preserve"> LS to RAN2 stating that </w:t>
      </w:r>
      <w:proofErr w:type="gramStart"/>
      <w:r w:rsidRPr="47F3F98F">
        <w:t>in order to</w:t>
      </w:r>
      <w:proofErr w:type="gramEnd"/>
      <w:r w:rsidRPr="47F3F98F">
        <w:t xml:space="preserve"> unambiguously map CSI-RS indices to RO locations, the UE must also be made aware of the following:</w:t>
      </w:r>
      <w:bookmarkEnd w:id="2"/>
    </w:p>
    <w:p w14:paraId="262BC618" w14:textId="38AF1AC3" w:rsidR="004B7FA6" w:rsidRDefault="004B7FA6" w:rsidP="006A083E">
      <w:pPr>
        <w:pStyle w:val="Proposal"/>
        <w:numPr>
          <w:ilvl w:val="1"/>
          <w:numId w:val="3"/>
        </w:numPr>
      </w:pPr>
      <w:bookmarkStart w:id="3" w:name="_Toc206180041"/>
      <w:r w:rsidRPr="47F3F98F">
        <w:t>Whether the RO locations should apply to legacy or additional ROs, and,</w:t>
      </w:r>
      <w:bookmarkEnd w:id="3"/>
    </w:p>
    <w:p w14:paraId="623F619E" w14:textId="4492D15B" w:rsidR="004B7FA6" w:rsidRDefault="004B7FA6" w:rsidP="006A083E">
      <w:pPr>
        <w:pStyle w:val="Proposal"/>
        <w:numPr>
          <w:ilvl w:val="1"/>
          <w:numId w:val="3"/>
        </w:numPr>
      </w:pPr>
      <w:bookmarkStart w:id="4" w:name="_Toc206180042"/>
      <w:r w:rsidRPr="47F3F98F">
        <w:t>In case of additional ROs, whether said ROs should be validated according to the single RACH configuration (Option 1) or the additional RACH configuration (Option 2).</w:t>
      </w:r>
      <w:bookmarkEnd w:id="4"/>
    </w:p>
    <w:p w14:paraId="3879E8F8" w14:textId="47A00E3D" w:rsidR="00C473A5" w:rsidRDefault="003B64BB" w:rsidP="00482C4D">
      <w:pPr>
        <w:pStyle w:val="B1"/>
        <w:ind w:left="284" w:firstLine="0"/>
        <w:sectPr w:rsidR="00C473A5" w:rsidSect="00AC22FB">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r>
        <w:t xml:space="preserve"> </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47F3F98F">
      <w:pPr>
        <w:pStyle w:val="BodyText"/>
        <w:rPr>
          <w:b/>
          <w:bCs/>
        </w:rPr>
      </w:pPr>
      <w:r w:rsidRPr="47F3F98F">
        <w:t xml:space="preserve">In </w:t>
      </w:r>
      <w:r w:rsidR="007729A2" w:rsidRPr="47F3F98F">
        <w:t xml:space="preserve">the previous </w:t>
      </w:r>
      <w:r w:rsidRPr="47F3F98F">
        <w:t>section</w:t>
      </w:r>
      <w:r w:rsidR="007729A2" w:rsidRPr="47F3F98F">
        <w:t>s</w:t>
      </w:r>
      <w:r w:rsidRPr="47F3F98F">
        <w:t xml:space="preserve"> we made the following observations:</w:t>
      </w:r>
      <w:r w:rsidR="00C93814" w:rsidRPr="47F3F98F">
        <w:rPr>
          <w:b/>
          <w:bCs/>
        </w:rPr>
        <w:t xml:space="preserve"> </w:t>
      </w:r>
    </w:p>
    <w:p w14:paraId="436E3AEC" w14:textId="4E0A9573" w:rsidR="00DB0F71"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80039" w:history="1">
        <w:r w:rsidR="00DB0F71" w:rsidRPr="00550F1D">
          <w:rPr>
            <w:rStyle w:val="Hyperlink"/>
            <w:noProof/>
            <w:lang w:val="en-GB"/>
          </w:rPr>
          <w:t>Observation 1</w:t>
        </w:r>
        <w:r w:rsidR="00DB0F71">
          <w:rPr>
            <w:rFonts w:asciiTheme="minorHAnsi" w:eastAsiaTheme="minorEastAsia" w:hAnsiTheme="minorHAnsi"/>
            <w:b w:val="0"/>
            <w:noProof/>
            <w:kern w:val="2"/>
            <w:sz w:val="24"/>
            <w:szCs w:val="24"/>
            <w:lang w:val="en-SE" w:eastAsia="en-SE"/>
            <w14:ligatures w14:val="standardContextual"/>
          </w:rPr>
          <w:tab/>
        </w:r>
        <w:r w:rsidR="00DB0F71" w:rsidRPr="00550F1D">
          <w:rPr>
            <w:rStyle w:val="Hyperlink"/>
            <w:noProof/>
          </w:rPr>
          <w:t>The RACH configuration provided by dedicated RRC must not necessarily be related to any configured common RACH configurations.</w:t>
        </w:r>
      </w:hyperlink>
    </w:p>
    <w:p w14:paraId="7D91EC5D" w14:textId="784BED8F"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47F3F98F">
        <w:t xml:space="preserve">Based on the discussion in </w:t>
      </w:r>
      <w:r w:rsidR="007729A2" w:rsidRPr="47F3F98F">
        <w:t xml:space="preserve">the previous </w:t>
      </w:r>
      <w:r w:rsidRPr="47F3F98F">
        <w:t>section</w:t>
      </w:r>
      <w:r w:rsidR="007729A2" w:rsidRPr="47F3F98F">
        <w:t>s</w:t>
      </w:r>
      <w:r w:rsidRPr="47F3F98F">
        <w:t xml:space="preserve"> we propose the following:</w:t>
      </w:r>
    </w:p>
    <w:p w14:paraId="6B2A2FD0" w14:textId="07ED185C" w:rsidR="00DB0F71"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80040" w:history="1">
        <w:r w:rsidR="00DB0F71" w:rsidRPr="00543DD4">
          <w:rPr>
            <w:rStyle w:val="Hyperlink"/>
            <w:noProof/>
          </w:rPr>
          <w:t>Proposal 1</w:t>
        </w:r>
        <w:r w:rsidR="00DB0F71">
          <w:rPr>
            <w:rFonts w:asciiTheme="minorHAnsi" w:eastAsiaTheme="minorEastAsia" w:hAnsiTheme="minorHAnsi"/>
            <w:b w:val="0"/>
            <w:noProof/>
            <w:kern w:val="2"/>
            <w:sz w:val="24"/>
            <w:szCs w:val="24"/>
            <w:lang w:val="en-SE" w:eastAsia="en-SE"/>
            <w14:ligatures w14:val="standardContextual"/>
          </w:rPr>
          <w:tab/>
        </w:r>
        <w:r w:rsidR="00DB0F71" w:rsidRPr="00543DD4">
          <w:rPr>
            <w:rStyle w:val="Hyperlink"/>
            <w:noProof/>
          </w:rPr>
          <w:t>Send a reply LS to RAN2 stating that in order to unambiguously map CSI-RS indices to RO locations, the UE must also be made aware of the following:</w:t>
        </w:r>
      </w:hyperlink>
    </w:p>
    <w:p w14:paraId="4C793E17" w14:textId="0D611561" w:rsidR="00DB0F71" w:rsidRDefault="00DB0F7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80041" w:history="1">
        <w:r w:rsidRPr="00543DD4">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543DD4">
          <w:rPr>
            <w:rStyle w:val="Hyperlink"/>
            <w:noProof/>
          </w:rPr>
          <w:t>Whether the RO locations should apply to legacy or additional ROs, and,</w:t>
        </w:r>
      </w:hyperlink>
    </w:p>
    <w:p w14:paraId="624FD830" w14:textId="56483751" w:rsidR="00DB0F71" w:rsidRDefault="00DB0F7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80042" w:history="1">
        <w:r w:rsidRPr="00543DD4">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543DD4">
          <w:rPr>
            <w:rStyle w:val="Hyperlink"/>
            <w:noProof/>
          </w:rPr>
          <w:t>In case of additional ROs, whether said ROs should be validated according to the single RACH configuration (Option 1) or the additional RACH configuration (Option 2).</w:t>
        </w:r>
      </w:hyperlink>
    </w:p>
    <w:p w14:paraId="58ACA235" w14:textId="751DA6E7" w:rsidR="00C01F33" w:rsidRPr="00CE0424" w:rsidRDefault="006E1C82" w:rsidP="007D19EC">
      <w:pPr>
        <w:pStyle w:val="BodyText"/>
      </w:pPr>
      <w:r>
        <w:rPr>
          <w:b/>
          <w:bCs/>
        </w:rPr>
        <w:fldChar w:fldCharType="end"/>
      </w:r>
      <w:r w:rsidRPr="00CE0424">
        <w:rPr>
          <w:b/>
          <w:bCs/>
        </w:rPr>
        <w:t xml:space="preserve"> </w:t>
      </w:r>
    </w:p>
    <w:p w14:paraId="71D79D99" w14:textId="77777777" w:rsidR="00F507D1" w:rsidRPr="00CE0424" w:rsidRDefault="00F507D1" w:rsidP="00CE0424">
      <w:pPr>
        <w:pStyle w:val="Heading1"/>
      </w:pPr>
      <w:bookmarkStart w:id="5" w:name="_In-sequence_SDU_delivery"/>
      <w:bookmarkEnd w:id="5"/>
      <w:r w:rsidRPr="00CE0424">
        <w:t>References</w:t>
      </w:r>
    </w:p>
    <w:p w14:paraId="77C5E852" w14:textId="3AB16D60" w:rsidR="005F3025" w:rsidRPr="00CE0424" w:rsidRDefault="00482C4D" w:rsidP="00311702">
      <w:pPr>
        <w:pStyle w:val="Reference"/>
      </w:pPr>
      <w:bookmarkStart w:id="6" w:name="_Ref206145167"/>
      <w:bookmarkStart w:id="7" w:name="_Ref174151459"/>
      <w:bookmarkStart w:id="8" w:name="_Ref189809556"/>
      <w:r w:rsidRPr="00482C4D">
        <w:t>R1-2505121</w:t>
      </w:r>
      <w:r>
        <w:t xml:space="preserve"> (</w:t>
      </w:r>
      <w:r w:rsidRPr="00482C4D">
        <w:t>R2-2504951</w:t>
      </w:r>
      <w:r>
        <w:t>), “</w:t>
      </w:r>
      <w:r w:rsidRPr="00482C4D">
        <w:t>LS on CSI-RS based CFRA using SBFD RO</w:t>
      </w:r>
      <w:r>
        <w:t>,” RAN2 WG, ZTE, RAN1 #122, August 2025.</w:t>
      </w:r>
      <w:bookmarkEnd w:id="6"/>
    </w:p>
    <w:p w14:paraId="7E6E87CC" w14:textId="3ACC38CF" w:rsidR="005F3025" w:rsidRPr="00052200" w:rsidRDefault="00052200" w:rsidP="00052200">
      <w:pPr>
        <w:pStyle w:val="Reference"/>
        <w:rPr>
          <w:rFonts w:eastAsia="Times New Roman" w:cs="Times New Roman"/>
          <w:szCs w:val="20"/>
          <w:lang w:val="en-GB"/>
        </w:rPr>
      </w:pPr>
      <w:bookmarkStart w:id="9" w:name="_Ref206146292"/>
      <w:r>
        <w:t>TS 38.331, “NR - Radio Resource Control (RRC) protocol specification,” 3GPP, v18.6, June 2025.</w:t>
      </w:r>
      <w:bookmarkEnd w:id="9"/>
    </w:p>
    <w:bookmarkEnd w:id="7"/>
    <w:bookmarkEnd w:id="8"/>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626F8" w14:textId="77777777" w:rsidR="00A357BD" w:rsidRDefault="00A357BD">
      <w:r>
        <w:separator/>
      </w:r>
    </w:p>
  </w:endnote>
  <w:endnote w:type="continuationSeparator" w:id="0">
    <w:p w14:paraId="7ECF4907" w14:textId="77777777" w:rsidR="00A357BD" w:rsidRDefault="00A357BD">
      <w:r>
        <w:continuationSeparator/>
      </w:r>
    </w:p>
  </w:endnote>
  <w:endnote w:type="continuationNotice" w:id="1">
    <w:p w14:paraId="137DB77C" w14:textId="77777777" w:rsidR="00A357BD" w:rsidRDefault="00A35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C5AC1" w14:textId="77777777" w:rsidR="00A357BD" w:rsidRDefault="00A357BD">
      <w:r>
        <w:separator/>
      </w:r>
    </w:p>
  </w:footnote>
  <w:footnote w:type="continuationSeparator" w:id="0">
    <w:p w14:paraId="614E3FF8" w14:textId="77777777" w:rsidR="00A357BD" w:rsidRDefault="00A357BD">
      <w:r>
        <w:continuationSeparator/>
      </w:r>
    </w:p>
  </w:footnote>
  <w:footnote w:type="continuationNotice" w:id="1">
    <w:p w14:paraId="19383D07" w14:textId="77777777" w:rsidR="00A357BD" w:rsidRDefault="00A357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B45FF5"/>
    <w:multiLevelType w:val="hybridMultilevel"/>
    <w:tmpl w:val="A46C44EC"/>
    <w:lvl w:ilvl="0" w:tplc="7B0A9AEA">
      <w:start w:val="1"/>
      <w:numFmt w:val="decimal"/>
      <w:pStyle w:val="ListParagraph"/>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15"/>
  </w:num>
  <w:num w:numId="3" w16cid:durableId="1913851990">
    <w:abstractNumId w:val="11"/>
  </w:num>
  <w:num w:numId="4" w16cid:durableId="2090736220">
    <w:abstractNumId w:val="12"/>
  </w:num>
  <w:num w:numId="5" w16cid:durableId="674647555">
    <w:abstractNumId w:val="8"/>
  </w:num>
  <w:num w:numId="6" w16cid:durableId="1498110781">
    <w:abstractNumId w:val="14"/>
  </w:num>
  <w:num w:numId="7" w16cid:durableId="1084961623">
    <w:abstractNumId w:val="19"/>
  </w:num>
  <w:num w:numId="8" w16cid:durableId="2086880802">
    <w:abstractNumId w:val="9"/>
  </w:num>
  <w:num w:numId="9" w16cid:durableId="1576015632">
    <w:abstractNumId w:val="7"/>
  </w:num>
  <w:num w:numId="10" w16cid:durableId="2126541449">
    <w:abstractNumId w:val="2"/>
  </w:num>
  <w:num w:numId="11" w16cid:durableId="693337342">
    <w:abstractNumId w:val="1"/>
  </w:num>
  <w:num w:numId="12" w16cid:durableId="1916816155">
    <w:abstractNumId w:val="0"/>
  </w:num>
  <w:num w:numId="13" w16cid:durableId="1591889704">
    <w:abstractNumId w:val="16"/>
  </w:num>
  <w:num w:numId="14" w16cid:durableId="16199632">
    <w:abstractNumId w:val="17"/>
  </w:num>
  <w:num w:numId="15" w16cid:durableId="298389984">
    <w:abstractNumId w:val="13"/>
  </w:num>
  <w:num w:numId="16" w16cid:durableId="1337730544">
    <w:abstractNumId w:val="20"/>
  </w:num>
  <w:num w:numId="17" w16cid:durableId="561411510">
    <w:abstractNumId w:val="5"/>
  </w:num>
  <w:num w:numId="18" w16cid:durableId="1204906343">
    <w:abstractNumId w:val="6"/>
  </w:num>
  <w:num w:numId="19" w16cid:durableId="578713189">
    <w:abstractNumId w:val="4"/>
  </w:num>
  <w:num w:numId="20" w16cid:durableId="1661736935">
    <w:abstractNumId w:val="24"/>
  </w:num>
  <w:num w:numId="21" w16cid:durableId="1200509507">
    <w:abstractNumId w:val="10"/>
  </w:num>
  <w:num w:numId="22" w16cid:durableId="1050613117">
    <w:abstractNumId w:val="23"/>
  </w:num>
  <w:num w:numId="23" w16cid:durableId="305624043">
    <w:abstractNumId w:val="22"/>
  </w:num>
  <w:num w:numId="24" w16cid:durableId="1867131685">
    <w:abstractNumId w:val="18"/>
  </w:num>
  <w:num w:numId="25" w16cid:durableId="81823002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3E4C"/>
    <w:rsid w:val="0002564D"/>
    <w:rsid w:val="00025ECA"/>
    <w:rsid w:val="000325B8"/>
    <w:rsid w:val="00034C15"/>
    <w:rsid w:val="00036BA1"/>
    <w:rsid w:val="000422E2"/>
    <w:rsid w:val="00042F22"/>
    <w:rsid w:val="000444EF"/>
    <w:rsid w:val="00052200"/>
    <w:rsid w:val="00052A07"/>
    <w:rsid w:val="000534E3"/>
    <w:rsid w:val="0005606A"/>
    <w:rsid w:val="00057117"/>
    <w:rsid w:val="00060759"/>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8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82C4D"/>
    <w:rsid w:val="004852FE"/>
    <w:rsid w:val="00492BC5"/>
    <w:rsid w:val="004964F1"/>
    <w:rsid w:val="004A16BC"/>
    <w:rsid w:val="004A2B94"/>
    <w:rsid w:val="004B6F6A"/>
    <w:rsid w:val="004B7C0C"/>
    <w:rsid w:val="004B7FA6"/>
    <w:rsid w:val="004C3898"/>
    <w:rsid w:val="004D36B1"/>
    <w:rsid w:val="004D5A1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911"/>
    <w:rsid w:val="005F618C"/>
    <w:rsid w:val="005F70BD"/>
    <w:rsid w:val="00601F4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3E"/>
    <w:rsid w:val="006A30F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4F31"/>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19E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C2D"/>
    <w:rsid w:val="00827D6F"/>
    <w:rsid w:val="00830F2B"/>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7158"/>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B91"/>
    <w:rsid w:val="009F344F"/>
    <w:rsid w:val="00A031D8"/>
    <w:rsid w:val="00A048A8"/>
    <w:rsid w:val="00A04F49"/>
    <w:rsid w:val="00A13E54"/>
    <w:rsid w:val="00A157E9"/>
    <w:rsid w:val="00A17F63"/>
    <w:rsid w:val="00A2193B"/>
    <w:rsid w:val="00A2351A"/>
    <w:rsid w:val="00A264A9"/>
    <w:rsid w:val="00A26DCF"/>
    <w:rsid w:val="00A27785"/>
    <w:rsid w:val="00A30187"/>
    <w:rsid w:val="00A3448A"/>
    <w:rsid w:val="00A357BD"/>
    <w:rsid w:val="00A36297"/>
    <w:rsid w:val="00A41E2B"/>
    <w:rsid w:val="00A45B74"/>
    <w:rsid w:val="00A52E1D"/>
    <w:rsid w:val="00A56054"/>
    <w:rsid w:val="00A611B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468DD"/>
    <w:rsid w:val="00B52C45"/>
    <w:rsid w:val="00B548B7"/>
    <w:rsid w:val="00B664C7"/>
    <w:rsid w:val="00B713D8"/>
    <w:rsid w:val="00B739F6"/>
    <w:rsid w:val="00B81A6C"/>
    <w:rsid w:val="00B85DE5"/>
    <w:rsid w:val="00B90F73"/>
    <w:rsid w:val="00B93B59"/>
    <w:rsid w:val="00B9406A"/>
    <w:rsid w:val="00B96F8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96C"/>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1F0B"/>
    <w:rsid w:val="00CC2011"/>
    <w:rsid w:val="00CC3EA0"/>
    <w:rsid w:val="00CC7B45"/>
    <w:rsid w:val="00CD1188"/>
    <w:rsid w:val="00CD2ED1"/>
    <w:rsid w:val="00CD337B"/>
    <w:rsid w:val="00CE0424"/>
    <w:rsid w:val="00CE7561"/>
    <w:rsid w:val="00CF058A"/>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0F71"/>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8A3"/>
    <w:rsid w:val="00E9291C"/>
    <w:rsid w:val="00E93FFE"/>
    <w:rsid w:val="00E94F8A"/>
    <w:rsid w:val="00EA4EF8"/>
    <w:rsid w:val="00EA7A41"/>
    <w:rsid w:val="00EB077B"/>
    <w:rsid w:val="00EB4EA2"/>
    <w:rsid w:val="00EC24D5"/>
    <w:rsid w:val="00EC27C6"/>
    <w:rsid w:val="00EC4207"/>
    <w:rsid w:val="00EC5653"/>
    <w:rsid w:val="00EC71CE"/>
    <w:rsid w:val="00ED1006"/>
    <w:rsid w:val="00ED79E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0FC0"/>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075"/>
    <w:rsid w:val="00FD07F6"/>
    <w:rsid w:val="00FD1EC8"/>
    <w:rsid w:val="00FD47ED"/>
    <w:rsid w:val="00FD74DB"/>
    <w:rsid w:val="00FD7660"/>
    <w:rsid w:val="00FE0655"/>
    <w:rsid w:val="00FE2365"/>
    <w:rsid w:val="00FE37D7"/>
    <w:rsid w:val="00FE4C7B"/>
    <w:rsid w:val="00FE7336"/>
    <w:rsid w:val="00FE787C"/>
    <w:rsid w:val="00FF45A5"/>
    <w:rsid w:val="00FF5C91"/>
    <w:rsid w:val="47F3F9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B7FA6"/>
    <w:pPr>
      <w:numPr>
        <w:numId w:val="25"/>
      </w:numPr>
      <w:spacing w:after="0"/>
    </w:pPr>
    <w:rPr>
      <w:rFonts w:eastAsia="Calibri" w:cs="Arial"/>
      <w:szCs w:val="20"/>
      <w:lang w:val="en-GB" w:eastAsia="ja-JP"/>
    </w:rPr>
  </w:style>
  <w:style w:type="character" w:customStyle="1" w:styleId="ListParagraphChar">
    <w:name w:val="List Paragraph Char"/>
    <w:link w:val="ListParagraph"/>
    <w:uiPriority w:val="34"/>
    <w:locked/>
    <w:rsid w:val="004B7FA6"/>
    <w:rPr>
      <w:rFonts w:ascii="Arial" w:eastAsia="Calibri" w:hAnsi="Arial" w:cs="Arial"/>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06075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27109">
      <w:bodyDiv w:val="1"/>
      <w:marLeft w:val="0"/>
      <w:marRight w:val="0"/>
      <w:marTop w:val="0"/>
      <w:marBottom w:val="0"/>
      <w:divBdr>
        <w:top w:val="none" w:sz="0" w:space="0" w:color="auto"/>
        <w:left w:val="none" w:sz="0" w:space="0" w:color="auto"/>
        <w:bottom w:val="none" w:sz="0" w:space="0" w:color="auto"/>
        <w:right w:val="none" w:sz="0" w:space="0" w:color="auto"/>
      </w:divBdr>
    </w:div>
    <w:div w:id="225264959">
      <w:bodyDiv w:val="1"/>
      <w:marLeft w:val="0"/>
      <w:marRight w:val="0"/>
      <w:marTop w:val="0"/>
      <w:marBottom w:val="0"/>
      <w:divBdr>
        <w:top w:val="none" w:sz="0" w:space="0" w:color="auto"/>
        <w:left w:val="none" w:sz="0" w:space="0" w:color="auto"/>
        <w:bottom w:val="none" w:sz="0" w:space="0" w:color="auto"/>
        <w:right w:val="none" w:sz="0" w:space="0" w:color="auto"/>
      </w:divBdr>
    </w:div>
    <w:div w:id="326904251">
      <w:bodyDiv w:val="1"/>
      <w:marLeft w:val="0"/>
      <w:marRight w:val="0"/>
      <w:marTop w:val="0"/>
      <w:marBottom w:val="0"/>
      <w:divBdr>
        <w:top w:val="none" w:sz="0" w:space="0" w:color="auto"/>
        <w:left w:val="none" w:sz="0" w:space="0" w:color="auto"/>
        <w:bottom w:val="none" w:sz="0" w:space="0" w:color="auto"/>
        <w:right w:val="none" w:sz="0" w:space="0" w:color="auto"/>
      </w:divBdr>
    </w:div>
    <w:div w:id="628829075">
      <w:bodyDiv w:val="1"/>
      <w:marLeft w:val="0"/>
      <w:marRight w:val="0"/>
      <w:marTop w:val="0"/>
      <w:marBottom w:val="0"/>
      <w:divBdr>
        <w:top w:val="none" w:sz="0" w:space="0" w:color="auto"/>
        <w:left w:val="none" w:sz="0" w:space="0" w:color="auto"/>
        <w:bottom w:val="none" w:sz="0" w:space="0" w:color="auto"/>
        <w:right w:val="none" w:sz="0" w:space="0" w:color="auto"/>
      </w:divBdr>
    </w:div>
    <w:div w:id="873620160">
      <w:bodyDiv w:val="1"/>
      <w:marLeft w:val="0"/>
      <w:marRight w:val="0"/>
      <w:marTop w:val="0"/>
      <w:marBottom w:val="0"/>
      <w:divBdr>
        <w:top w:val="none" w:sz="0" w:space="0" w:color="auto"/>
        <w:left w:val="none" w:sz="0" w:space="0" w:color="auto"/>
        <w:bottom w:val="none" w:sz="0" w:space="0" w:color="auto"/>
        <w:right w:val="none" w:sz="0" w:space="0" w:color="auto"/>
      </w:divBdr>
    </w:div>
    <w:div w:id="904991161">
      <w:bodyDiv w:val="1"/>
      <w:marLeft w:val="0"/>
      <w:marRight w:val="0"/>
      <w:marTop w:val="0"/>
      <w:marBottom w:val="0"/>
      <w:divBdr>
        <w:top w:val="none" w:sz="0" w:space="0" w:color="auto"/>
        <w:left w:val="none" w:sz="0" w:space="0" w:color="auto"/>
        <w:bottom w:val="none" w:sz="0" w:space="0" w:color="auto"/>
        <w:right w:val="none" w:sz="0" w:space="0" w:color="auto"/>
      </w:divBdr>
    </w:div>
    <w:div w:id="2022122940">
      <w:bodyDiv w:val="1"/>
      <w:marLeft w:val="0"/>
      <w:marRight w:val="0"/>
      <w:marTop w:val="0"/>
      <w:marBottom w:val="0"/>
      <w:divBdr>
        <w:top w:val="none" w:sz="0" w:space="0" w:color="auto"/>
        <w:left w:val="none" w:sz="0" w:space="0" w:color="auto"/>
        <w:bottom w:val="none" w:sz="0" w:space="0" w:color="auto"/>
        <w:right w:val="none" w:sz="0" w:space="0" w:color="auto"/>
      </w:divBdr>
    </w:div>
    <w:div w:id="208876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EBC94EF-456A-4EAF-A387-A0F5F131A230}">
  <ds:schemaRefs>
    <ds:schemaRef ds:uri="http://schemas.openxmlformats.org/officeDocument/2006/bibliography"/>
  </ds:schemaRefs>
</ds:datastoreItem>
</file>

<file path=customXml/itemProps2.xml><?xml version="1.0" encoding="utf-8"?>
<ds:datastoreItem xmlns:ds="http://schemas.openxmlformats.org/officeDocument/2006/customXml" ds:itemID="{0C230F80-A623-41F3-90EF-3668502260E2}"/>
</file>

<file path=customXml/itemProps3.xml><?xml version="1.0" encoding="utf-8"?>
<ds:datastoreItem xmlns:ds="http://schemas.openxmlformats.org/officeDocument/2006/customXml" ds:itemID="{02B93343-92E0-4D0A-9E66-B11036FAC938}"/>
</file>

<file path=customXml/itemProps4.xml><?xml version="1.0" encoding="utf-8"?>
<ds:datastoreItem xmlns:ds="http://schemas.openxmlformats.org/officeDocument/2006/customXml" ds:itemID="{723ADC9D-D041-4DA2-991A-FDE65AC7001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565</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Links>
    <vt:vector size="12" baseType="variant">
      <vt:variant>
        <vt:i4>1769525</vt:i4>
      </vt:variant>
      <vt:variant>
        <vt:i4>14</vt:i4>
      </vt:variant>
      <vt:variant>
        <vt:i4>0</vt:i4>
      </vt:variant>
      <vt:variant>
        <vt:i4>5</vt:i4>
      </vt:variant>
      <vt:variant>
        <vt:lpwstr/>
      </vt:variant>
      <vt:variant>
        <vt:lpwstr>_Toc112169052</vt:lpwstr>
      </vt:variant>
      <vt:variant>
        <vt:i4>1703989</vt:i4>
      </vt:variant>
      <vt:variant>
        <vt:i4>8</vt:i4>
      </vt:variant>
      <vt:variant>
        <vt:i4>0</vt:i4>
      </vt:variant>
      <vt:variant>
        <vt:i4>5</vt:i4>
      </vt:variant>
      <vt:variant>
        <vt:lpwstr/>
      </vt:variant>
      <vt:variant>
        <vt:lpwstr>_Toc112169048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2025-08-15T17:54:00Z</dcterms:created>
  <dcterms:modified xsi:type="dcterms:W3CDTF">2025-08-15T17:54:00Z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